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4C" w:rsidRDefault="006F194C" w:rsidP="006F194C">
      <w:pPr>
        <w:pStyle w:val="Heading1"/>
      </w:pPr>
      <w:r w:rsidRPr="004F5665">
        <w:t>Introduction</w:t>
      </w:r>
    </w:p>
    <w:p w:rsidR="000457F5" w:rsidRPr="000457F5" w:rsidRDefault="000457F5" w:rsidP="000457F5"/>
    <w:p w:rsidR="000457F5" w:rsidRPr="000457F5" w:rsidRDefault="000457F5" w:rsidP="000457F5">
      <w:pPr>
        <w:rPr>
          <w:lang w:val="en-US"/>
        </w:rPr>
      </w:pPr>
      <w:r w:rsidRPr="000457F5">
        <w:rPr>
          <w:lang w:val="en-US"/>
        </w:rPr>
        <w:t xml:space="preserve">A lapse in either attendance or punctuality presents hardship to the remainder of the staff </w:t>
      </w:r>
      <w:r>
        <w:rPr>
          <w:lang w:val="en-US"/>
        </w:rPr>
        <w:t xml:space="preserve">and can have </w:t>
      </w:r>
      <w:r w:rsidR="00944F97">
        <w:rPr>
          <w:lang w:val="en-US"/>
        </w:rPr>
        <w:t xml:space="preserve">a negative </w:t>
      </w:r>
      <w:r w:rsidR="00DE3BF9">
        <w:rPr>
          <w:lang w:val="en-US"/>
        </w:rPr>
        <w:t>e</w:t>
      </w:r>
      <w:r w:rsidR="00944F97">
        <w:rPr>
          <w:lang w:val="en-US"/>
        </w:rPr>
        <w:t>ffect on YBE</w:t>
      </w:r>
      <w:r w:rsidR="001E1D46">
        <w:rPr>
          <w:lang w:val="en-US"/>
        </w:rPr>
        <w:t xml:space="preserve"> and its C</w:t>
      </w:r>
      <w:r>
        <w:rPr>
          <w:lang w:val="en-US"/>
        </w:rPr>
        <w:t xml:space="preserve">lients. Such behavior </w:t>
      </w:r>
      <w:r w:rsidRPr="000457F5">
        <w:rPr>
          <w:lang w:val="en-US"/>
        </w:rPr>
        <w:t>will be considered when an employee is</w:t>
      </w:r>
      <w:r w:rsidR="00944F97">
        <w:rPr>
          <w:lang w:val="en-US"/>
        </w:rPr>
        <w:t xml:space="preserve"> routinely</w:t>
      </w:r>
      <w:r w:rsidRPr="000457F5">
        <w:rPr>
          <w:lang w:val="en-US"/>
        </w:rPr>
        <w:t xml:space="preserve"> evaluated</w:t>
      </w:r>
      <w:r w:rsidR="0045584E">
        <w:rPr>
          <w:lang w:val="en-US"/>
        </w:rPr>
        <w:t xml:space="preserve"> via their performance reviews</w:t>
      </w:r>
      <w:r w:rsidRPr="000457F5">
        <w:rPr>
          <w:lang w:val="en-US"/>
        </w:rPr>
        <w:t>. Excessive abuse of the work schedule may result in disciplinary action, including employment dismissal.</w:t>
      </w:r>
    </w:p>
    <w:p w:rsidR="006F194C" w:rsidRPr="003E61C6" w:rsidRDefault="006F194C" w:rsidP="006F194C">
      <w:bookmarkStart w:id="0" w:name="_GoBack"/>
      <w:bookmarkEnd w:id="0"/>
    </w:p>
    <w:p w:rsidR="006F194C" w:rsidRDefault="006F194C" w:rsidP="006F194C">
      <w:pPr>
        <w:pStyle w:val="Heading1"/>
      </w:pPr>
      <w:r w:rsidRPr="004F5665">
        <w:t>Statement of Authority</w:t>
      </w:r>
    </w:p>
    <w:p w:rsidR="006F194C" w:rsidRPr="00EB3674" w:rsidRDefault="006F194C" w:rsidP="006F194C"/>
    <w:p w:rsidR="001B0C23" w:rsidRDefault="006F194C" w:rsidP="006F194C">
      <w:r w:rsidRPr="004A27AD">
        <w:t xml:space="preserve">The provisions in this </w:t>
      </w:r>
      <w:r>
        <w:t>Policy</w:t>
      </w:r>
      <w:r w:rsidR="001B0C23">
        <w:t xml:space="preserve"> have due reference to:</w:t>
      </w:r>
    </w:p>
    <w:p w:rsidR="001B0C23" w:rsidRDefault="00A0386B" w:rsidP="006F194C">
      <w:r>
        <w:t>Current Employment Agreement</w:t>
      </w:r>
    </w:p>
    <w:p w:rsidR="001B0C23" w:rsidRDefault="00702189" w:rsidP="006F194C">
      <w:r w:rsidRPr="00A0386B">
        <w:t xml:space="preserve">YBE </w:t>
      </w:r>
      <w:r w:rsidR="001B0C23" w:rsidRPr="00A0386B">
        <w:t>Mission Statement</w:t>
      </w:r>
      <w:r>
        <w:t xml:space="preserve"> </w:t>
      </w:r>
    </w:p>
    <w:p w:rsidR="006F194C" w:rsidRDefault="001B0C23" w:rsidP="006F194C">
      <w:r>
        <w:t>Code of Conduct</w:t>
      </w:r>
    </w:p>
    <w:p w:rsidR="001B0C23" w:rsidRDefault="001B0C23" w:rsidP="006F194C">
      <w:r>
        <w:t>Performance Management Policy</w:t>
      </w:r>
    </w:p>
    <w:p w:rsidR="006F194C" w:rsidRPr="00854B9B" w:rsidRDefault="006F194C" w:rsidP="006F194C"/>
    <w:p w:rsidR="006F194C" w:rsidRDefault="006F194C" w:rsidP="006F194C">
      <w:pPr>
        <w:pStyle w:val="Heading1"/>
      </w:pPr>
      <w:r>
        <w:t>Intent</w:t>
      </w:r>
    </w:p>
    <w:p w:rsidR="006F194C" w:rsidRPr="00EB3674" w:rsidRDefault="006F194C" w:rsidP="006F194C"/>
    <w:p w:rsidR="00702189" w:rsidRDefault="0037199D" w:rsidP="006F194C">
      <w:r>
        <w:t>The</w:t>
      </w:r>
      <w:r w:rsidR="006F194C">
        <w:t xml:space="preserve"> </w:t>
      </w:r>
      <w:r w:rsidR="00702189">
        <w:t xml:space="preserve">intention of this document is to provide </w:t>
      </w:r>
      <w:r w:rsidR="001B0C23">
        <w:t>Supervisors</w:t>
      </w:r>
      <w:r w:rsidR="00702189">
        <w:t>/</w:t>
      </w:r>
      <w:r w:rsidR="001B0C23">
        <w:t>Coordinator</w:t>
      </w:r>
      <w:r w:rsidR="001E1D46">
        <w:t>s</w:t>
      </w:r>
      <w:r w:rsidR="00702189">
        <w:t>/Managers</w:t>
      </w:r>
      <w:r>
        <w:t xml:space="preserve"> with</w:t>
      </w:r>
      <w:r w:rsidR="00702189">
        <w:t xml:space="preserve"> </w:t>
      </w:r>
      <w:r w:rsidR="00F85043">
        <w:t>a guide when</w:t>
      </w:r>
      <w:r w:rsidR="00702189">
        <w:t xml:space="preserve"> addressing instances of </w:t>
      </w:r>
      <w:r w:rsidR="00F85043">
        <w:t xml:space="preserve">staff </w:t>
      </w:r>
      <w:r w:rsidR="00544C88">
        <w:t>absenteeism</w:t>
      </w:r>
      <w:r w:rsidR="00F85043">
        <w:t xml:space="preserve"> </w:t>
      </w:r>
      <w:r w:rsidR="00544C88">
        <w:t>(</w:t>
      </w:r>
      <w:r w:rsidR="00F85043">
        <w:t>late starters and if staff fail to report for work as per their roster</w:t>
      </w:r>
      <w:r w:rsidR="00544C88">
        <w:t>)</w:t>
      </w:r>
      <w:r w:rsidR="00F85043">
        <w:t>. It is also to assist in providing employees with a standardised process</w:t>
      </w:r>
      <w:r w:rsidR="00544C88">
        <w:t>.</w:t>
      </w:r>
    </w:p>
    <w:p w:rsidR="001B0C23" w:rsidRDefault="001B0C23" w:rsidP="006F194C"/>
    <w:p w:rsidR="006F194C" w:rsidRDefault="006F194C" w:rsidP="006F194C">
      <w:pPr>
        <w:pStyle w:val="Heading1"/>
        <w:rPr>
          <w:sz w:val="28"/>
          <w:szCs w:val="28"/>
        </w:rPr>
      </w:pPr>
      <w:r>
        <w:t>Relevant Definitions</w:t>
      </w:r>
    </w:p>
    <w:p w:rsidR="006F194C" w:rsidRDefault="006F194C" w:rsidP="006F194C"/>
    <w:p w:rsidR="006F194C" w:rsidRDefault="006F194C" w:rsidP="006F194C">
      <w:r w:rsidRPr="004A27AD">
        <w:rPr>
          <w:b/>
        </w:rPr>
        <w:t>CEO</w:t>
      </w:r>
      <w:r>
        <w:t xml:space="preserve"> the Chief Executive Officer of YBE or his/her delegate.</w:t>
      </w:r>
    </w:p>
    <w:p w:rsidR="006F194C" w:rsidRDefault="006F194C" w:rsidP="006F194C">
      <w:r w:rsidRPr="00454B86">
        <w:rPr>
          <w:b/>
        </w:rPr>
        <w:t xml:space="preserve">Code of </w:t>
      </w:r>
      <w:r>
        <w:rPr>
          <w:b/>
        </w:rPr>
        <w:t>C</w:t>
      </w:r>
      <w:r w:rsidRPr="00454B86">
        <w:rPr>
          <w:b/>
        </w:rPr>
        <w:t>onduct</w:t>
      </w:r>
      <w:r>
        <w:t xml:space="preserve"> is the Code of Conduct required by all YBE employees.</w:t>
      </w:r>
    </w:p>
    <w:p w:rsidR="006F194C" w:rsidRDefault="006F194C" w:rsidP="006F194C">
      <w:r w:rsidRPr="004A27AD">
        <w:rPr>
          <w:b/>
        </w:rPr>
        <w:t>Co-ordinator</w:t>
      </w:r>
      <w:r>
        <w:t xml:space="preserve"> a person employed by YBE under an employment contract as a Co-ordinator.</w:t>
      </w:r>
    </w:p>
    <w:p w:rsidR="006F194C" w:rsidRDefault="006F194C" w:rsidP="006F194C">
      <w:r w:rsidRPr="00EE4C0C">
        <w:rPr>
          <w:b/>
        </w:rPr>
        <w:t>Current Employment Agreement</w:t>
      </w:r>
      <w:r>
        <w:t xml:space="preserve"> is the employees’ contract of employment in force at any given time</w:t>
      </w:r>
    </w:p>
    <w:p w:rsidR="006F194C" w:rsidRDefault="006F194C" w:rsidP="006F194C">
      <w:r w:rsidRPr="004A27AD">
        <w:rPr>
          <w:b/>
        </w:rPr>
        <w:t>Disciplinary action</w:t>
      </w:r>
      <w:r>
        <w:t>:</w:t>
      </w:r>
    </w:p>
    <w:p w:rsidR="006F194C" w:rsidRDefault="006F194C" w:rsidP="006F194C">
      <w:pPr>
        <w:numPr>
          <w:ilvl w:val="0"/>
          <w:numId w:val="3"/>
        </w:numPr>
      </w:pPr>
      <w:r>
        <w:t>Formal verbal warning of an employee  by an appropriate manager / co-ordinator / supervisor;</w:t>
      </w:r>
    </w:p>
    <w:p w:rsidR="006F194C" w:rsidRDefault="006F194C" w:rsidP="006F194C">
      <w:pPr>
        <w:numPr>
          <w:ilvl w:val="0"/>
          <w:numId w:val="3"/>
        </w:numPr>
      </w:pPr>
      <w:r>
        <w:t>Written warning of an employee by an appropriate manager / co-ordinator / supervisor (including, where appropriate, a 2</w:t>
      </w:r>
      <w:r w:rsidRPr="00E24ED7">
        <w:rPr>
          <w:vertAlign w:val="superscript"/>
        </w:rPr>
        <w:t>nd</w:t>
      </w:r>
      <w:r>
        <w:t xml:space="preserve"> and final warning); or</w:t>
      </w:r>
    </w:p>
    <w:p w:rsidR="006F194C" w:rsidRDefault="006F194C" w:rsidP="006F194C">
      <w:pPr>
        <w:numPr>
          <w:ilvl w:val="0"/>
          <w:numId w:val="3"/>
        </w:numPr>
      </w:pPr>
      <w:r>
        <w:t>Termination of an employee.</w:t>
      </w:r>
    </w:p>
    <w:p w:rsidR="006F194C" w:rsidRDefault="006F194C" w:rsidP="006F194C">
      <w:r w:rsidRPr="004A27AD">
        <w:rPr>
          <w:b/>
        </w:rPr>
        <w:t>Employee</w:t>
      </w:r>
      <w:r>
        <w:t xml:space="preserve"> </w:t>
      </w:r>
      <w:r w:rsidRPr="00491717">
        <w:t>describes</w:t>
      </w:r>
      <w:r>
        <w:t xml:space="preserve"> employees, apprentices, trainees, agents and contractors (including temporary contractors).</w:t>
      </w:r>
    </w:p>
    <w:p w:rsidR="006F194C" w:rsidRDefault="006F194C" w:rsidP="006F194C">
      <w:r w:rsidRPr="00F670B3">
        <w:rPr>
          <w:b/>
        </w:rPr>
        <w:t>Formal verbal warning</w:t>
      </w:r>
      <w:r w:rsidRPr="00F670B3">
        <w:t xml:space="preserve"> </w:t>
      </w:r>
      <w:r>
        <w:t>is a two-way discussion, addressing any shortcomings regarding conduct and required expectations. This discussion shall be documented by the conductor.</w:t>
      </w:r>
    </w:p>
    <w:p w:rsidR="006F194C" w:rsidRDefault="006F194C" w:rsidP="006F194C">
      <w:r w:rsidRPr="004A27AD">
        <w:rPr>
          <w:b/>
        </w:rPr>
        <w:t>FWA</w:t>
      </w:r>
      <w:r>
        <w:t xml:space="preserve"> Fair Work Australia.</w:t>
      </w:r>
    </w:p>
    <w:p w:rsidR="006F194C" w:rsidRPr="00DE65D4" w:rsidRDefault="006F194C" w:rsidP="006F194C">
      <w:r>
        <w:rPr>
          <w:b/>
        </w:rPr>
        <w:t xml:space="preserve">HR Manager </w:t>
      </w:r>
      <w:r>
        <w:t>Human Resource Manager or his/her delegate.</w:t>
      </w:r>
    </w:p>
    <w:p w:rsidR="006F194C" w:rsidRDefault="006F194C" w:rsidP="006F194C">
      <w:r w:rsidRPr="004A27AD">
        <w:rPr>
          <w:b/>
        </w:rPr>
        <w:t>Manager</w:t>
      </w:r>
      <w:r>
        <w:t xml:space="preserve"> a person employed by YBE under a written contract as a Manager.</w:t>
      </w:r>
    </w:p>
    <w:p w:rsidR="006F194C" w:rsidRDefault="006F194C" w:rsidP="006F194C">
      <w:r w:rsidRPr="004A27AD">
        <w:rPr>
          <w:b/>
        </w:rPr>
        <w:lastRenderedPageBreak/>
        <w:t>Misconduct</w:t>
      </w:r>
      <w:r>
        <w:t xml:space="preserve"> is dereliction of duty or wilful conduct that is unsatisfactory.  In deciding whether conduct is in fact misconduct, Managers and Co-ordinators will reference YBE’s Code of Conduct.  </w:t>
      </w:r>
    </w:p>
    <w:p w:rsidR="006F194C" w:rsidRPr="001B0C23" w:rsidRDefault="006F194C" w:rsidP="001B0C23">
      <w:pPr>
        <w:rPr>
          <w:rFonts w:asciiTheme="minorHAnsi" w:hAnsiTheme="minorHAnsi" w:cstheme="minorHAnsi"/>
        </w:rPr>
      </w:pPr>
      <w:r w:rsidRPr="001B0C23">
        <w:rPr>
          <w:rFonts w:asciiTheme="minorHAnsi" w:hAnsiTheme="minorHAnsi" w:cstheme="minorHAnsi"/>
          <w:b/>
        </w:rPr>
        <w:t>Supervisor</w:t>
      </w:r>
      <w:r w:rsidRPr="001B0C23">
        <w:rPr>
          <w:rFonts w:asciiTheme="minorHAnsi" w:hAnsiTheme="minorHAnsi" w:cstheme="minorHAnsi"/>
        </w:rPr>
        <w:t xml:space="preserve"> a person employed by YBE under a written contract as a Supervisor.</w:t>
      </w:r>
    </w:p>
    <w:p w:rsidR="006F194C" w:rsidRDefault="006F194C" w:rsidP="001B0C23">
      <w:r w:rsidRPr="001B0C23">
        <w:rPr>
          <w:rFonts w:asciiTheme="minorHAnsi" w:hAnsiTheme="minorHAnsi" w:cstheme="minorHAnsi"/>
          <w:b/>
        </w:rPr>
        <w:t>Underperformance</w:t>
      </w:r>
      <w:r w:rsidRPr="001B0C23">
        <w:rPr>
          <w:rFonts w:asciiTheme="minorHAnsi" w:hAnsiTheme="minorHAnsi" w:cstheme="minorHAnsi"/>
        </w:rPr>
        <w:t xml:space="preserve"> is failure to meet</w:t>
      </w:r>
      <w:r>
        <w:t xml:space="preserve"> the performance standards of the position. </w:t>
      </w:r>
    </w:p>
    <w:p w:rsidR="006F194C" w:rsidRDefault="006F194C" w:rsidP="006F194C">
      <w:r w:rsidRPr="00454B86">
        <w:rPr>
          <w:b/>
        </w:rPr>
        <w:t>Unsatisfactory Performance</w:t>
      </w:r>
      <w:r w:rsidRPr="004A27AD">
        <w:t xml:space="preserve"> is failure to meet the performance standards of the position.</w:t>
      </w:r>
    </w:p>
    <w:p w:rsidR="006F194C" w:rsidRDefault="006F194C" w:rsidP="006F194C">
      <w:r w:rsidRPr="00732833">
        <w:rPr>
          <w:b/>
        </w:rPr>
        <w:t>Work-related function</w:t>
      </w:r>
      <w:r w:rsidRPr="00732833">
        <w:t xml:space="preserve"> is any function that is connected to work.</w:t>
      </w:r>
      <w:r>
        <w:t xml:space="preserve"> For example: w</w:t>
      </w:r>
      <w:r w:rsidRPr="00732833">
        <w:t xml:space="preserve">ork lunches, dinners, conferences, </w:t>
      </w:r>
      <w:r>
        <w:t>community/festive</w:t>
      </w:r>
      <w:r w:rsidRPr="00732833">
        <w:t xml:space="preserve"> functions and client/customer functions</w:t>
      </w:r>
      <w:r>
        <w:t>.</w:t>
      </w:r>
    </w:p>
    <w:p w:rsidR="006F194C" w:rsidRDefault="006F194C" w:rsidP="006F194C">
      <w:pPr>
        <w:rPr>
          <w:b/>
        </w:rPr>
      </w:pPr>
      <w:r>
        <w:rPr>
          <w:b/>
        </w:rPr>
        <w:t>YBE</w:t>
      </w:r>
      <w:r>
        <w:t xml:space="preserve"> YBE (2) Pty Ltd.</w:t>
      </w:r>
      <w:r w:rsidRPr="00B279D2">
        <w:rPr>
          <w:b/>
        </w:rPr>
        <w:t xml:space="preserve"> </w:t>
      </w:r>
    </w:p>
    <w:p w:rsidR="006F194C" w:rsidRDefault="006F194C" w:rsidP="006F194C"/>
    <w:p w:rsidR="006F194C" w:rsidRDefault="006F194C" w:rsidP="006F194C">
      <w:pPr>
        <w:pStyle w:val="Heading1"/>
      </w:pPr>
      <w:r w:rsidRPr="004F5665">
        <w:t xml:space="preserve">Policy </w:t>
      </w:r>
    </w:p>
    <w:p w:rsidR="000457F5" w:rsidRPr="000457F5" w:rsidRDefault="000457F5" w:rsidP="000457F5">
      <w:pPr>
        <w:rPr>
          <w:b/>
          <w:bCs/>
          <w:u w:val="single"/>
          <w:lang w:val="en-US"/>
        </w:rPr>
      </w:pPr>
    </w:p>
    <w:p w:rsidR="006F194C" w:rsidRDefault="00595F5D" w:rsidP="006F194C">
      <w:pPr>
        <w:rPr>
          <w:b/>
        </w:rPr>
      </w:pPr>
      <w:r w:rsidRPr="00595F5D">
        <w:rPr>
          <w:b/>
        </w:rPr>
        <w:t xml:space="preserve">Failure </w:t>
      </w:r>
      <w:r>
        <w:rPr>
          <w:b/>
        </w:rPr>
        <w:t xml:space="preserve">to report for work </w:t>
      </w:r>
    </w:p>
    <w:p w:rsidR="00595F5D" w:rsidRDefault="00595F5D" w:rsidP="006F194C">
      <w:r>
        <w:t xml:space="preserve">Where an employee fails to report for work at the designated commencement time </w:t>
      </w:r>
      <w:r w:rsidR="000457F5">
        <w:t>they will be deemed to be absent</w:t>
      </w:r>
      <w:r w:rsidR="00944F97">
        <w:t xml:space="preserve"> for the day.</w:t>
      </w:r>
    </w:p>
    <w:p w:rsidR="00944F97" w:rsidRDefault="00944F97" w:rsidP="006F194C"/>
    <w:p w:rsidR="00944F97" w:rsidRDefault="00944F97" w:rsidP="006F194C">
      <w:pPr>
        <w:rPr>
          <w:b/>
        </w:rPr>
      </w:pPr>
      <w:r w:rsidRPr="00944F97">
        <w:rPr>
          <w:b/>
        </w:rPr>
        <w:t>YBE’s Needs</w:t>
      </w:r>
    </w:p>
    <w:p w:rsidR="00944F97" w:rsidRDefault="00944F97" w:rsidP="006F194C">
      <w:r>
        <w:t>Where the absenteeism of an employee will have a negative impact on YBE</w:t>
      </w:r>
      <w:r w:rsidR="0037199D">
        <w:t>, the Co-Ordinator of the a</w:t>
      </w:r>
      <w:r>
        <w:t>ffected department may allow the employee to commence work at a later time.</w:t>
      </w:r>
    </w:p>
    <w:p w:rsidR="00944F97" w:rsidRDefault="00944F97" w:rsidP="006F194C">
      <w:r>
        <w:t>In such cases the employee</w:t>
      </w:r>
      <w:r w:rsidR="0037199D">
        <w:t>’</w:t>
      </w:r>
      <w:r>
        <w:t>s timesheet will be adjust</w:t>
      </w:r>
      <w:r w:rsidR="0037199D">
        <w:t>ed</w:t>
      </w:r>
      <w:r>
        <w:t xml:space="preserve"> to reflect the late start. This will result in the employee only being paid for the actual time worked on the day.</w:t>
      </w:r>
    </w:p>
    <w:p w:rsidR="00944F97" w:rsidRPr="00944F97" w:rsidRDefault="00944F97" w:rsidP="006F194C"/>
    <w:p w:rsidR="00F60A4F" w:rsidRDefault="00F60A4F" w:rsidP="006F194C">
      <w:r>
        <w:rPr>
          <w:b/>
        </w:rPr>
        <w:t xml:space="preserve">Underperformance and Unsatisfactory performance </w:t>
      </w:r>
    </w:p>
    <w:p w:rsidR="00F60A4F" w:rsidRDefault="00F60A4F" w:rsidP="00F60A4F">
      <w:r>
        <w:t>Underperformance and unsatisfactory performance will be dealt with as per the disciplinary procedure</w:t>
      </w:r>
      <w:r w:rsidRPr="008312E3">
        <w:t>.</w:t>
      </w:r>
    </w:p>
    <w:p w:rsidR="0035159B" w:rsidRDefault="0035159B" w:rsidP="0035159B">
      <w:r>
        <w:t>Where an employee demonstrates underperformance and/or unsatisfactory performance, actions will be taken to address his/her shortcomings in a timely manner.  Appropriate action can range from:</w:t>
      </w:r>
    </w:p>
    <w:p w:rsidR="0035159B" w:rsidRDefault="0035159B" w:rsidP="0035159B">
      <w:pPr>
        <w:numPr>
          <w:ilvl w:val="0"/>
          <w:numId w:val="2"/>
        </w:numPr>
      </w:pPr>
      <w:r>
        <w:t>Formal verbal warning (with file note recorded)</w:t>
      </w:r>
    </w:p>
    <w:p w:rsidR="0035159B" w:rsidRDefault="0035159B" w:rsidP="0035159B">
      <w:pPr>
        <w:numPr>
          <w:ilvl w:val="0"/>
          <w:numId w:val="2"/>
        </w:numPr>
      </w:pPr>
      <w:r>
        <w:t>First written warning</w:t>
      </w:r>
    </w:p>
    <w:p w:rsidR="0035159B" w:rsidRDefault="0035159B" w:rsidP="0035159B">
      <w:pPr>
        <w:numPr>
          <w:ilvl w:val="0"/>
          <w:numId w:val="2"/>
        </w:numPr>
      </w:pPr>
      <w:r>
        <w:t>2</w:t>
      </w:r>
      <w:r w:rsidRPr="00F670B3">
        <w:rPr>
          <w:vertAlign w:val="superscript"/>
        </w:rPr>
        <w:t>nd</w:t>
      </w:r>
      <w:r>
        <w:t xml:space="preserve"> and final written warning</w:t>
      </w:r>
    </w:p>
    <w:p w:rsidR="0035159B" w:rsidRDefault="0035159B" w:rsidP="0035159B">
      <w:pPr>
        <w:numPr>
          <w:ilvl w:val="0"/>
          <w:numId w:val="2"/>
        </w:numPr>
      </w:pPr>
      <w:r>
        <w:t>Termination of Employment</w:t>
      </w:r>
    </w:p>
    <w:p w:rsidR="00F60A4F" w:rsidRPr="008312E3" w:rsidRDefault="00F60A4F" w:rsidP="006F194C"/>
    <w:p w:rsidR="006F194C" w:rsidRDefault="006F194C" w:rsidP="006F194C"/>
    <w:p w:rsidR="006F194C" w:rsidRPr="00454B86" w:rsidRDefault="006F194C" w:rsidP="006F194C">
      <w:pPr>
        <w:rPr>
          <w:b/>
        </w:rPr>
      </w:pPr>
      <w:r w:rsidRPr="00454B86">
        <w:rPr>
          <w:b/>
        </w:rPr>
        <w:t>Documentation</w:t>
      </w:r>
    </w:p>
    <w:p w:rsidR="006F194C" w:rsidRDefault="00F60A4F" w:rsidP="006F194C">
      <w:r>
        <w:t>In the event of any misconduct all documentation will be kept on personnel files.</w:t>
      </w:r>
    </w:p>
    <w:p w:rsidR="006F194C" w:rsidRPr="00854B9B" w:rsidRDefault="006F194C" w:rsidP="006F194C"/>
    <w:p w:rsidR="006F194C" w:rsidRDefault="006F194C" w:rsidP="006F194C">
      <w:pPr>
        <w:pStyle w:val="Heading1"/>
      </w:pPr>
      <w:r>
        <w:t xml:space="preserve">Supporting Documentation </w:t>
      </w:r>
    </w:p>
    <w:p w:rsidR="006F194C" w:rsidRDefault="006F194C" w:rsidP="006F194C"/>
    <w:p w:rsidR="0035159B" w:rsidRDefault="0035159B" w:rsidP="006F194C">
      <w:pPr>
        <w:numPr>
          <w:ilvl w:val="0"/>
          <w:numId w:val="5"/>
        </w:numPr>
      </w:pPr>
      <w:r>
        <w:t>Code of Conduct</w:t>
      </w:r>
    </w:p>
    <w:p w:rsidR="0035159B" w:rsidRDefault="0035159B" w:rsidP="006F194C">
      <w:pPr>
        <w:numPr>
          <w:ilvl w:val="0"/>
          <w:numId w:val="5"/>
        </w:numPr>
      </w:pPr>
      <w:r>
        <w:t>Current employment agreement</w:t>
      </w:r>
    </w:p>
    <w:p w:rsidR="0035159B" w:rsidRDefault="0035159B" w:rsidP="006F194C">
      <w:pPr>
        <w:numPr>
          <w:ilvl w:val="0"/>
          <w:numId w:val="5"/>
        </w:numPr>
      </w:pPr>
      <w:r>
        <w:t xml:space="preserve">HRMPOL101 </w:t>
      </w:r>
      <w:r w:rsidR="006F194C">
        <w:t xml:space="preserve">Performance </w:t>
      </w:r>
      <w:r>
        <w:t>Management Policy</w:t>
      </w:r>
    </w:p>
    <w:p w:rsidR="006F194C" w:rsidRDefault="0035159B" w:rsidP="006F194C">
      <w:pPr>
        <w:numPr>
          <w:ilvl w:val="0"/>
          <w:numId w:val="5"/>
        </w:numPr>
      </w:pPr>
      <w:r>
        <w:t xml:space="preserve">HRMPOL101 Performance Management </w:t>
      </w:r>
      <w:r w:rsidR="006F194C">
        <w:t>Procedure</w:t>
      </w:r>
    </w:p>
    <w:p w:rsidR="006F194C" w:rsidRDefault="0035159B" w:rsidP="006F194C">
      <w:pPr>
        <w:numPr>
          <w:ilvl w:val="0"/>
          <w:numId w:val="5"/>
        </w:numPr>
      </w:pPr>
      <w:r>
        <w:t xml:space="preserve">HRMPRO100 </w:t>
      </w:r>
      <w:r w:rsidR="006F194C">
        <w:t>Disciplinary Procedure</w:t>
      </w:r>
    </w:p>
    <w:p w:rsidR="006F194C" w:rsidRDefault="0035159B" w:rsidP="006F194C">
      <w:pPr>
        <w:numPr>
          <w:ilvl w:val="0"/>
          <w:numId w:val="5"/>
        </w:numPr>
      </w:pPr>
      <w:r>
        <w:t xml:space="preserve">HRMFRM107 </w:t>
      </w:r>
      <w:r w:rsidR="006F194C">
        <w:t>Record of discussion – 1</w:t>
      </w:r>
      <w:r w:rsidR="006F194C" w:rsidRPr="009C05F5">
        <w:rPr>
          <w:vertAlign w:val="superscript"/>
        </w:rPr>
        <w:t>st</w:t>
      </w:r>
      <w:r w:rsidR="006F194C">
        <w:t xml:space="preserve"> Written Warning</w:t>
      </w:r>
    </w:p>
    <w:p w:rsidR="006F194C" w:rsidRDefault="0035159B" w:rsidP="006F194C">
      <w:pPr>
        <w:numPr>
          <w:ilvl w:val="0"/>
          <w:numId w:val="5"/>
        </w:numPr>
      </w:pPr>
      <w:r>
        <w:t xml:space="preserve">HRMFRM106 </w:t>
      </w:r>
      <w:r w:rsidR="006F194C">
        <w:t>Record of discussion – 2</w:t>
      </w:r>
      <w:r w:rsidR="006F194C" w:rsidRPr="009C05F5">
        <w:rPr>
          <w:vertAlign w:val="superscript"/>
        </w:rPr>
        <w:t>nd</w:t>
      </w:r>
      <w:r w:rsidR="006F194C">
        <w:t xml:space="preserve"> and Final Warning</w:t>
      </w:r>
    </w:p>
    <w:p w:rsidR="006F194C" w:rsidRDefault="006F194C" w:rsidP="006F194C"/>
    <w:p w:rsidR="006F194C" w:rsidRDefault="006F194C" w:rsidP="006F194C">
      <w:pPr>
        <w:pStyle w:val="Heading1"/>
      </w:pPr>
      <w:r>
        <w:t>Responsibilities</w:t>
      </w:r>
    </w:p>
    <w:p w:rsidR="006F194C" w:rsidRDefault="006F194C" w:rsidP="006F194C">
      <w:pPr>
        <w:pStyle w:val="Heading1"/>
      </w:pPr>
    </w:p>
    <w:p w:rsidR="006F194C" w:rsidRDefault="006F194C" w:rsidP="006F194C">
      <w:r w:rsidRPr="00454B86">
        <w:t xml:space="preserve">The HR Manager is responsible </w:t>
      </w:r>
      <w:r w:rsidR="0035159B">
        <w:t>for the implementation of this policy.</w:t>
      </w:r>
    </w:p>
    <w:p w:rsidR="006F194C" w:rsidRDefault="006F194C" w:rsidP="006F194C"/>
    <w:p w:rsidR="006F194C" w:rsidRPr="00702630" w:rsidRDefault="006F194C" w:rsidP="006F194C">
      <w:pPr>
        <w:rPr>
          <w:sz w:val="20"/>
          <w:szCs w:val="20"/>
        </w:rPr>
      </w:pPr>
      <w:r w:rsidRPr="003C5948">
        <w:t>Document History and Version Control</w:t>
      </w: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728"/>
        <w:gridCol w:w="1985"/>
        <w:gridCol w:w="4747"/>
      </w:tblGrid>
      <w:tr w:rsidR="006F194C" w:rsidRPr="005F2A35" w:rsidTr="006F194C">
        <w:tc>
          <w:tcPr>
            <w:tcW w:w="1080" w:type="dxa"/>
            <w:shd w:val="clear" w:color="auto" w:fill="auto"/>
          </w:tcPr>
          <w:p w:rsidR="006F194C" w:rsidRPr="00A0452E" w:rsidRDefault="006F194C" w:rsidP="006F194C">
            <w:r w:rsidRPr="00A0452E">
              <w:t>Version</w:t>
            </w:r>
          </w:p>
        </w:tc>
        <w:tc>
          <w:tcPr>
            <w:tcW w:w="1728" w:type="dxa"/>
            <w:shd w:val="clear" w:color="auto" w:fill="auto"/>
          </w:tcPr>
          <w:p w:rsidR="006F194C" w:rsidRPr="00A0452E" w:rsidRDefault="006F194C" w:rsidP="006F194C">
            <w:r w:rsidRPr="00A0452E">
              <w:t xml:space="preserve">Date Approved </w:t>
            </w:r>
          </w:p>
        </w:tc>
        <w:tc>
          <w:tcPr>
            <w:tcW w:w="1985" w:type="dxa"/>
            <w:shd w:val="clear" w:color="auto" w:fill="auto"/>
          </w:tcPr>
          <w:p w:rsidR="006F194C" w:rsidRPr="00A0452E" w:rsidRDefault="006F194C" w:rsidP="006F194C">
            <w:r w:rsidRPr="00A0452E">
              <w:t>Approved by</w:t>
            </w:r>
          </w:p>
        </w:tc>
        <w:tc>
          <w:tcPr>
            <w:tcW w:w="4747" w:type="dxa"/>
            <w:shd w:val="clear" w:color="auto" w:fill="auto"/>
          </w:tcPr>
          <w:p w:rsidR="006F194C" w:rsidRPr="00A0452E" w:rsidRDefault="006F194C" w:rsidP="006F194C">
            <w:r w:rsidRPr="00A0452E">
              <w:t>Brief Description</w:t>
            </w:r>
          </w:p>
        </w:tc>
      </w:tr>
      <w:tr w:rsidR="006F194C" w:rsidRPr="005F2A35" w:rsidTr="006F194C">
        <w:tc>
          <w:tcPr>
            <w:tcW w:w="1080" w:type="dxa"/>
          </w:tcPr>
          <w:p w:rsidR="006F194C" w:rsidRPr="005F2A35" w:rsidRDefault="006F194C" w:rsidP="006F194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728" w:type="dxa"/>
          </w:tcPr>
          <w:p w:rsidR="006F194C" w:rsidRPr="005F2A35" w:rsidRDefault="00A0386B" w:rsidP="00AF1D25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1D2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/07/2013</w:t>
            </w:r>
          </w:p>
        </w:tc>
        <w:tc>
          <w:tcPr>
            <w:tcW w:w="1985" w:type="dxa"/>
          </w:tcPr>
          <w:p w:rsidR="006F194C" w:rsidRPr="005F2A35" w:rsidRDefault="006F194C" w:rsidP="006F194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Glenn Aitchison</w:t>
            </w:r>
          </w:p>
        </w:tc>
        <w:tc>
          <w:tcPr>
            <w:tcW w:w="4747" w:type="dxa"/>
          </w:tcPr>
          <w:p w:rsidR="006F194C" w:rsidRPr="005F2A35" w:rsidRDefault="006F194C" w:rsidP="006F194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Original Document</w:t>
            </w:r>
          </w:p>
        </w:tc>
      </w:tr>
    </w:tbl>
    <w:p w:rsidR="006F194C" w:rsidRPr="00EB3674" w:rsidRDefault="006F194C" w:rsidP="006F194C">
      <w:pPr>
        <w:rPr>
          <w:color w:val="1F497D"/>
        </w:rPr>
      </w:pPr>
    </w:p>
    <w:p w:rsidR="00193215" w:rsidRDefault="00193215"/>
    <w:sectPr w:rsidR="00193215" w:rsidSect="006F194C">
      <w:footerReference w:type="default" r:id="rId9"/>
      <w:headerReference w:type="first" r:id="rId10"/>
      <w:footerReference w:type="first" r:id="rId11"/>
      <w:pgSz w:w="11906" w:h="16838"/>
      <w:pgMar w:top="1304" w:right="1440" w:bottom="1440" w:left="1440" w:header="426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71" w:rsidRDefault="00B80771">
      <w:r>
        <w:separator/>
      </w:r>
    </w:p>
  </w:endnote>
  <w:endnote w:type="continuationSeparator" w:id="0">
    <w:p w:rsidR="00B80771" w:rsidRDefault="00B8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94C" w:rsidRDefault="006F194C">
    <w:pPr>
      <w:pStyle w:val="Footer"/>
    </w:pPr>
  </w:p>
  <w:tbl>
    <w:tblPr>
      <w:tblW w:w="954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0"/>
      <w:gridCol w:w="2160"/>
    </w:tblGrid>
    <w:tr w:rsidR="00330F65" w:rsidRPr="005F2A35" w:rsidTr="006F194C">
      <w:tc>
        <w:tcPr>
          <w:tcW w:w="7380" w:type="dxa"/>
          <w:vMerge w:val="restart"/>
        </w:tcPr>
        <w:p w:rsidR="00330F65" w:rsidRPr="004D1DF0" w:rsidRDefault="00330F65" w:rsidP="00330F65">
          <w:pPr>
            <w:pStyle w:val="Subtitle"/>
            <w:rPr>
              <w:szCs w:val="24"/>
            </w:rPr>
          </w:pPr>
          <w:r>
            <w:rPr>
              <w:b/>
              <w:bCs/>
            </w:rPr>
            <w:t>Any governing document once printed is considered an uncontrolled document. Only documents in the Document Library are considered to be the most current version.</w:t>
          </w:r>
        </w:p>
      </w:tc>
      <w:tc>
        <w:tcPr>
          <w:tcW w:w="2160" w:type="dxa"/>
        </w:tcPr>
        <w:p w:rsidR="00330F65" w:rsidRPr="004D1DF0" w:rsidRDefault="00330F65" w:rsidP="006F194C">
          <w:pPr>
            <w:pStyle w:val="Subtitle"/>
            <w:jc w:val="right"/>
            <w:rPr>
              <w:szCs w:val="16"/>
              <w:lang w:val="en-US"/>
            </w:rPr>
          </w:pPr>
          <w:r w:rsidRPr="004D1DF0">
            <w:rPr>
              <w:szCs w:val="16"/>
              <w:lang w:val="en-US"/>
            </w:rPr>
            <w:t>Version</w:t>
          </w:r>
          <w:r>
            <w:rPr>
              <w:szCs w:val="16"/>
              <w:lang w:val="en-US"/>
            </w:rPr>
            <w:t>: 1.0</w:t>
          </w:r>
          <w:r w:rsidRPr="004D1DF0">
            <w:rPr>
              <w:szCs w:val="16"/>
              <w:lang w:val="en-US"/>
            </w:rPr>
            <w:t xml:space="preserve">    </w:t>
          </w:r>
        </w:p>
      </w:tc>
    </w:tr>
    <w:tr w:rsidR="00330F65" w:rsidRPr="005F2A35" w:rsidTr="006F194C">
      <w:tc>
        <w:tcPr>
          <w:tcW w:w="7380" w:type="dxa"/>
          <w:vMerge/>
        </w:tcPr>
        <w:p w:rsidR="00330F65" w:rsidRPr="004D1DF0" w:rsidRDefault="00330F65" w:rsidP="006F194C">
          <w:pPr>
            <w:pStyle w:val="Subtitle"/>
            <w:rPr>
              <w:szCs w:val="16"/>
            </w:rPr>
          </w:pPr>
        </w:p>
      </w:tc>
      <w:tc>
        <w:tcPr>
          <w:tcW w:w="2160" w:type="dxa"/>
        </w:tcPr>
        <w:p w:rsidR="00330F65" w:rsidRPr="004D1DF0" w:rsidRDefault="00330F65" w:rsidP="006F194C">
          <w:pPr>
            <w:pStyle w:val="Subtitle"/>
            <w:jc w:val="right"/>
            <w:rPr>
              <w:szCs w:val="16"/>
            </w:rPr>
          </w:pPr>
          <w:r w:rsidRPr="004D1DF0">
            <w:rPr>
              <w:szCs w:val="16"/>
            </w:rPr>
            <w:t xml:space="preserve">Page </w:t>
          </w:r>
          <w:r w:rsidRPr="004D1DF0">
            <w:rPr>
              <w:szCs w:val="16"/>
            </w:rPr>
            <w:fldChar w:fldCharType="begin"/>
          </w:r>
          <w:r w:rsidRPr="004D1DF0">
            <w:rPr>
              <w:szCs w:val="16"/>
            </w:rPr>
            <w:instrText xml:space="preserve"> PAGE </w:instrText>
          </w:r>
          <w:r w:rsidRPr="004D1DF0">
            <w:rPr>
              <w:szCs w:val="16"/>
            </w:rPr>
            <w:fldChar w:fldCharType="separate"/>
          </w:r>
          <w:r w:rsidR="00DE3BF9">
            <w:rPr>
              <w:noProof/>
              <w:szCs w:val="16"/>
            </w:rPr>
            <w:t>2</w:t>
          </w:r>
          <w:r w:rsidRPr="004D1DF0">
            <w:rPr>
              <w:szCs w:val="16"/>
            </w:rPr>
            <w:fldChar w:fldCharType="end"/>
          </w:r>
          <w:r w:rsidRPr="004D1DF0">
            <w:rPr>
              <w:szCs w:val="16"/>
            </w:rPr>
            <w:t xml:space="preserve"> of </w:t>
          </w:r>
          <w:r w:rsidRPr="004D1DF0">
            <w:rPr>
              <w:szCs w:val="16"/>
            </w:rPr>
            <w:fldChar w:fldCharType="begin"/>
          </w:r>
          <w:r w:rsidRPr="004D1DF0">
            <w:rPr>
              <w:szCs w:val="16"/>
            </w:rPr>
            <w:instrText xml:space="preserve"> NUMPAGES  </w:instrText>
          </w:r>
          <w:r w:rsidRPr="004D1DF0">
            <w:rPr>
              <w:szCs w:val="16"/>
            </w:rPr>
            <w:fldChar w:fldCharType="separate"/>
          </w:r>
          <w:r w:rsidR="00DE3BF9">
            <w:rPr>
              <w:noProof/>
              <w:szCs w:val="16"/>
            </w:rPr>
            <w:t>3</w:t>
          </w:r>
          <w:r w:rsidRPr="004D1DF0">
            <w:rPr>
              <w:szCs w:val="16"/>
            </w:rPr>
            <w:fldChar w:fldCharType="end"/>
          </w:r>
        </w:p>
      </w:tc>
    </w:tr>
  </w:tbl>
  <w:p w:rsidR="006F194C" w:rsidRDefault="006F19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0"/>
      <w:gridCol w:w="2160"/>
    </w:tblGrid>
    <w:tr w:rsidR="00330F65" w:rsidRPr="005F2A35" w:rsidTr="006F194C">
      <w:tc>
        <w:tcPr>
          <w:tcW w:w="7380" w:type="dxa"/>
          <w:vMerge w:val="restart"/>
        </w:tcPr>
        <w:p w:rsidR="00330F65" w:rsidRPr="004D1DF0" w:rsidRDefault="00330F65" w:rsidP="00DE2E5E">
          <w:pPr>
            <w:pStyle w:val="Subtitle"/>
            <w:rPr>
              <w:szCs w:val="24"/>
            </w:rPr>
          </w:pPr>
          <w:r>
            <w:rPr>
              <w:b/>
              <w:bCs/>
            </w:rPr>
            <w:t>Any governing document once printed is considered an uncontrolled document. Only documents in the Document Library are considered to be the most current version.</w:t>
          </w:r>
        </w:p>
      </w:tc>
      <w:tc>
        <w:tcPr>
          <w:tcW w:w="2160" w:type="dxa"/>
        </w:tcPr>
        <w:p w:rsidR="00330F65" w:rsidRPr="004D1DF0" w:rsidRDefault="00330F65" w:rsidP="006F194C">
          <w:pPr>
            <w:pStyle w:val="Subtitle"/>
            <w:jc w:val="right"/>
            <w:rPr>
              <w:szCs w:val="16"/>
              <w:lang w:val="en-US"/>
            </w:rPr>
          </w:pPr>
          <w:r w:rsidRPr="004D1DF0">
            <w:rPr>
              <w:szCs w:val="16"/>
              <w:lang w:val="en-US"/>
            </w:rPr>
            <w:t>Version</w:t>
          </w:r>
          <w:r>
            <w:rPr>
              <w:szCs w:val="16"/>
              <w:lang w:val="en-US"/>
            </w:rPr>
            <w:t>: 1.0</w:t>
          </w:r>
          <w:r w:rsidRPr="004D1DF0">
            <w:rPr>
              <w:szCs w:val="16"/>
              <w:lang w:val="en-US"/>
            </w:rPr>
            <w:t xml:space="preserve">    </w:t>
          </w:r>
        </w:p>
      </w:tc>
    </w:tr>
    <w:tr w:rsidR="00330F65" w:rsidRPr="005F2A35" w:rsidTr="006F194C">
      <w:tc>
        <w:tcPr>
          <w:tcW w:w="7380" w:type="dxa"/>
          <w:vMerge/>
        </w:tcPr>
        <w:p w:rsidR="00330F65" w:rsidRPr="004D1DF0" w:rsidRDefault="00330F65" w:rsidP="006F194C">
          <w:pPr>
            <w:pStyle w:val="Subtitle"/>
            <w:rPr>
              <w:szCs w:val="16"/>
            </w:rPr>
          </w:pPr>
        </w:p>
      </w:tc>
      <w:tc>
        <w:tcPr>
          <w:tcW w:w="2160" w:type="dxa"/>
        </w:tcPr>
        <w:p w:rsidR="00330F65" w:rsidRPr="004D1DF0" w:rsidRDefault="00330F65" w:rsidP="006F194C">
          <w:pPr>
            <w:pStyle w:val="Subtitle"/>
            <w:jc w:val="right"/>
            <w:rPr>
              <w:szCs w:val="16"/>
            </w:rPr>
          </w:pPr>
          <w:r w:rsidRPr="004D1DF0">
            <w:rPr>
              <w:szCs w:val="16"/>
            </w:rPr>
            <w:t xml:space="preserve">Page </w:t>
          </w:r>
          <w:r w:rsidRPr="004D1DF0">
            <w:rPr>
              <w:szCs w:val="16"/>
            </w:rPr>
            <w:fldChar w:fldCharType="begin"/>
          </w:r>
          <w:r w:rsidRPr="004D1DF0">
            <w:rPr>
              <w:szCs w:val="16"/>
            </w:rPr>
            <w:instrText xml:space="preserve"> PAGE </w:instrText>
          </w:r>
          <w:r w:rsidRPr="004D1DF0">
            <w:rPr>
              <w:szCs w:val="16"/>
            </w:rPr>
            <w:fldChar w:fldCharType="separate"/>
          </w:r>
          <w:r w:rsidR="00DE3BF9">
            <w:rPr>
              <w:noProof/>
              <w:szCs w:val="16"/>
            </w:rPr>
            <w:t>1</w:t>
          </w:r>
          <w:r w:rsidRPr="004D1DF0">
            <w:rPr>
              <w:szCs w:val="16"/>
            </w:rPr>
            <w:fldChar w:fldCharType="end"/>
          </w:r>
          <w:r w:rsidRPr="004D1DF0">
            <w:rPr>
              <w:szCs w:val="16"/>
            </w:rPr>
            <w:t xml:space="preserve"> of </w:t>
          </w:r>
          <w:r w:rsidRPr="004D1DF0">
            <w:rPr>
              <w:szCs w:val="16"/>
            </w:rPr>
            <w:fldChar w:fldCharType="begin"/>
          </w:r>
          <w:r w:rsidRPr="004D1DF0">
            <w:rPr>
              <w:szCs w:val="16"/>
            </w:rPr>
            <w:instrText xml:space="preserve"> NUMPAGES  </w:instrText>
          </w:r>
          <w:r w:rsidRPr="004D1DF0">
            <w:rPr>
              <w:szCs w:val="16"/>
            </w:rPr>
            <w:fldChar w:fldCharType="separate"/>
          </w:r>
          <w:r w:rsidR="00DE3BF9">
            <w:rPr>
              <w:noProof/>
              <w:szCs w:val="16"/>
            </w:rPr>
            <w:t>3</w:t>
          </w:r>
          <w:r w:rsidRPr="004D1DF0">
            <w:rPr>
              <w:szCs w:val="16"/>
            </w:rPr>
            <w:fldChar w:fldCharType="end"/>
          </w:r>
        </w:p>
      </w:tc>
    </w:tr>
  </w:tbl>
  <w:p w:rsidR="006F194C" w:rsidRDefault="006F19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71" w:rsidRDefault="00B80771">
      <w:r>
        <w:separator/>
      </w:r>
    </w:p>
  </w:footnote>
  <w:footnote w:type="continuationSeparator" w:id="0">
    <w:p w:rsidR="00B80771" w:rsidRDefault="00B80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9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74"/>
      <w:gridCol w:w="4252"/>
      <w:gridCol w:w="4253"/>
    </w:tblGrid>
    <w:tr w:rsidR="006F194C" w:rsidRPr="00234A6B" w:rsidTr="006F194C">
      <w:trPr>
        <w:cantSplit/>
        <w:trHeight w:val="855"/>
      </w:trPr>
      <w:tc>
        <w:tcPr>
          <w:tcW w:w="1674" w:type="dxa"/>
          <w:vMerge w:val="restart"/>
        </w:tcPr>
        <w:p w:rsidR="006F194C" w:rsidRDefault="006F194C" w:rsidP="006F194C">
          <w:pPr>
            <w:spacing w:before="240" w:after="120"/>
            <w:rPr>
              <w:rFonts w:ascii="Arial" w:hAnsi="Arial" w:cs="Arial"/>
              <w:sz w:val="32"/>
              <w:szCs w:val="32"/>
            </w:rPr>
          </w:pPr>
          <w:r>
            <w:rPr>
              <w:noProof/>
              <w:lang w:eastAsia="en-AU"/>
            </w:rPr>
            <w:drawing>
              <wp:inline distT="0" distB="0" distL="0" distR="0" wp14:anchorId="3FCB7E1B" wp14:editId="7CB1AF64">
                <wp:extent cx="800100" cy="857250"/>
                <wp:effectExtent l="0" t="0" r="0" b="0"/>
                <wp:docPr id="1" name="Picture 1" descr="YBE_LogoV91 - 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BE_LogoV91 - 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gridSpan w:val="2"/>
        </w:tcPr>
        <w:p w:rsidR="006F194C" w:rsidRPr="004D1DF0" w:rsidRDefault="006F194C" w:rsidP="00195D1B">
          <w:pPr>
            <w:pStyle w:val="Title"/>
          </w:pPr>
          <w:r>
            <w:t>HR</w:t>
          </w:r>
          <w:r w:rsidR="001D34F2">
            <w:t>MPOL112</w:t>
          </w:r>
          <w:r>
            <w:t xml:space="preserve"> </w:t>
          </w:r>
          <w:r w:rsidR="00C46214">
            <w:t>–</w:t>
          </w:r>
          <w:r>
            <w:t xml:space="preserve"> </w:t>
          </w:r>
          <w:r w:rsidR="00195D1B">
            <w:t>Absenteeism</w:t>
          </w:r>
          <w:r>
            <w:t xml:space="preserve"> Policy</w:t>
          </w:r>
        </w:p>
      </w:tc>
    </w:tr>
    <w:tr w:rsidR="006F194C" w:rsidRPr="00234A6B" w:rsidTr="006F194C">
      <w:trPr>
        <w:cantSplit/>
        <w:trHeight w:val="428"/>
      </w:trPr>
      <w:tc>
        <w:tcPr>
          <w:tcW w:w="1674" w:type="dxa"/>
          <w:vMerge/>
        </w:tcPr>
        <w:p w:rsidR="006F194C" w:rsidRPr="00A0452E" w:rsidRDefault="006F194C" w:rsidP="006F194C">
          <w:pPr>
            <w:spacing w:before="240" w:after="120"/>
          </w:pPr>
        </w:p>
      </w:tc>
      <w:tc>
        <w:tcPr>
          <w:tcW w:w="4252" w:type="dxa"/>
        </w:tcPr>
        <w:p w:rsidR="006F194C" w:rsidRPr="004D1DF0" w:rsidRDefault="006F194C" w:rsidP="006F194C">
          <w:pPr>
            <w:pStyle w:val="Subtitle"/>
          </w:pPr>
          <w:r w:rsidRPr="004D1DF0">
            <w:t xml:space="preserve">Version: </w:t>
          </w:r>
          <w:r>
            <w:t>1.0</w:t>
          </w:r>
        </w:p>
        <w:p w:rsidR="006F194C" w:rsidRPr="004D1DF0" w:rsidRDefault="006F194C" w:rsidP="006F194C">
          <w:pPr>
            <w:pStyle w:val="Subtitle"/>
          </w:pPr>
          <w:r w:rsidRPr="004D1DF0">
            <w:t xml:space="preserve">Last amendment: </w:t>
          </w:r>
        </w:p>
      </w:tc>
      <w:tc>
        <w:tcPr>
          <w:tcW w:w="4253" w:type="dxa"/>
        </w:tcPr>
        <w:p w:rsidR="006F194C" w:rsidRPr="004D1DF0" w:rsidRDefault="006F194C" w:rsidP="006F194C">
          <w:pPr>
            <w:pStyle w:val="Subtitle"/>
          </w:pPr>
          <w:r w:rsidRPr="004D1DF0">
            <w:t>Approved By:</w:t>
          </w:r>
          <w:r>
            <w:t xml:space="preserve"> Glenn Aitchison</w:t>
          </w:r>
        </w:p>
        <w:p w:rsidR="006F194C" w:rsidRPr="004D1DF0" w:rsidRDefault="006F194C" w:rsidP="00C46214">
          <w:pPr>
            <w:pStyle w:val="Subtitle"/>
          </w:pPr>
          <w:r>
            <w:t xml:space="preserve">Date: </w:t>
          </w:r>
          <w:r w:rsidR="00C46214">
            <w:t>4/4/14</w:t>
          </w:r>
        </w:p>
      </w:tc>
    </w:tr>
    <w:tr w:rsidR="006F194C" w:rsidRPr="00234A6B" w:rsidTr="006F194C">
      <w:trPr>
        <w:cantSplit/>
        <w:trHeight w:val="427"/>
      </w:trPr>
      <w:tc>
        <w:tcPr>
          <w:tcW w:w="1674" w:type="dxa"/>
          <w:vMerge/>
          <w:tcBorders>
            <w:bottom w:val="single" w:sz="4" w:space="0" w:color="auto"/>
          </w:tcBorders>
        </w:tcPr>
        <w:p w:rsidR="006F194C" w:rsidRPr="00A0452E" w:rsidRDefault="006F194C" w:rsidP="006F194C">
          <w:pPr>
            <w:spacing w:before="240" w:after="120"/>
          </w:pPr>
        </w:p>
      </w:tc>
      <w:tc>
        <w:tcPr>
          <w:tcW w:w="4252" w:type="dxa"/>
        </w:tcPr>
        <w:p w:rsidR="006F194C" w:rsidRPr="004D1DF0" w:rsidRDefault="006F194C" w:rsidP="006F194C">
          <w:pPr>
            <w:pStyle w:val="Subtitle"/>
          </w:pPr>
          <w:r>
            <w:t>Document Contact</w:t>
          </w:r>
          <w:r w:rsidRPr="004D1DF0">
            <w:t xml:space="preserve">: </w:t>
          </w:r>
          <w:r>
            <w:t>HR Manager</w:t>
          </w:r>
        </w:p>
      </w:tc>
      <w:tc>
        <w:tcPr>
          <w:tcW w:w="4253" w:type="dxa"/>
        </w:tcPr>
        <w:p w:rsidR="006F194C" w:rsidRPr="004D1DF0" w:rsidRDefault="006F194C" w:rsidP="00A0386B">
          <w:pPr>
            <w:pStyle w:val="Subtitle"/>
          </w:pPr>
          <w:r w:rsidRPr="004D1DF0">
            <w:t xml:space="preserve">Next Review: </w:t>
          </w:r>
          <w:r w:rsidR="00C46214">
            <w:t>25/07/2017</w:t>
          </w:r>
        </w:p>
      </w:tc>
    </w:tr>
  </w:tbl>
  <w:p w:rsidR="006F194C" w:rsidRDefault="006F1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A3E58"/>
    <w:multiLevelType w:val="hybridMultilevel"/>
    <w:tmpl w:val="3EAE0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25E97"/>
    <w:multiLevelType w:val="hybridMultilevel"/>
    <w:tmpl w:val="234C9F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36326"/>
    <w:multiLevelType w:val="hybridMultilevel"/>
    <w:tmpl w:val="A7FC14C8"/>
    <w:lvl w:ilvl="0" w:tplc="F000C0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26EBC"/>
    <w:multiLevelType w:val="hybridMultilevel"/>
    <w:tmpl w:val="AA5406D0"/>
    <w:lvl w:ilvl="0" w:tplc="6D50F21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AA5729"/>
    <w:multiLevelType w:val="hybridMultilevel"/>
    <w:tmpl w:val="339A0140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9D54C17"/>
    <w:multiLevelType w:val="hybridMultilevel"/>
    <w:tmpl w:val="AE4C2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30307"/>
    <w:multiLevelType w:val="hybridMultilevel"/>
    <w:tmpl w:val="E5E635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4C"/>
    <w:rsid w:val="000457F5"/>
    <w:rsid w:val="00054C6C"/>
    <w:rsid w:val="00193215"/>
    <w:rsid w:val="00195D1B"/>
    <w:rsid w:val="001B0C23"/>
    <w:rsid w:val="001D34F2"/>
    <w:rsid w:val="001E1D46"/>
    <w:rsid w:val="00330F65"/>
    <w:rsid w:val="0035159B"/>
    <w:rsid w:val="0037199D"/>
    <w:rsid w:val="00433889"/>
    <w:rsid w:val="0045584E"/>
    <w:rsid w:val="00463E9B"/>
    <w:rsid w:val="00544C88"/>
    <w:rsid w:val="00595F5D"/>
    <w:rsid w:val="006F194C"/>
    <w:rsid w:val="00702189"/>
    <w:rsid w:val="0086762A"/>
    <w:rsid w:val="00944F97"/>
    <w:rsid w:val="009905E5"/>
    <w:rsid w:val="009F3495"/>
    <w:rsid w:val="00A0386B"/>
    <w:rsid w:val="00AF1D25"/>
    <w:rsid w:val="00B13A3D"/>
    <w:rsid w:val="00B80771"/>
    <w:rsid w:val="00C46214"/>
    <w:rsid w:val="00DE3BF9"/>
    <w:rsid w:val="00F12A9D"/>
    <w:rsid w:val="00F60A4F"/>
    <w:rsid w:val="00F8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94C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194C"/>
    <w:pPr>
      <w:tabs>
        <w:tab w:val="left" w:pos="4669"/>
      </w:tabs>
      <w:ind w:left="-567"/>
      <w:outlineLvl w:val="0"/>
    </w:pPr>
    <w:rPr>
      <w:rFonts w:ascii="Arial" w:hAnsi="Arial" w:cs="Arial"/>
      <w:b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194C"/>
    <w:rPr>
      <w:rFonts w:ascii="Arial" w:eastAsia="Times New Roman" w:hAnsi="Arial" w:cs="Arial"/>
      <w:b/>
      <w:smallCaps/>
      <w:sz w:val="32"/>
      <w:szCs w:val="32"/>
    </w:rPr>
  </w:style>
  <w:style w:type="paragraph" w:styleId="Subtitle">
    <w:name w:val="Subtitle"/>
    <w:basedOn w:val="Normal"/>
    <w:link w:val="SubtitleChar"/>
    <w:qFormat/>
    <w:rsid w:val="006F194C"/>
    <w:pPr>
      <w:contextualSpacing/>
    </w:pPr>
    <w:rPr>
      <w:rFonts w:cs="Arial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6F194C"/>
    <w:rPr>
      <w:rFonts w:ascii="Calibri" w:eastAsia="Times New Roman" w:hAnsi="Calibri" w:cs="Arial"/>
      <w:sz w:val="20"/>
      <w:szCs w:val="20"/>
    </w:rPr>
  </w:style>
  <w:style w:type="paragraph" w:styleId="Title">
    <w:name w:val="Title"/>
    <w:basedOn w:val="Normal"/>
    <w:link w:val="TitleChar"/>
    <w:qFormat/>
    <w:rsid w:val="006F194C"/>
    <w:pPr>
      <w:spacing w:before="240" w:after="120"/>
    </w:pPr>
    <w:rPr>
      <w:rFonts w:cs="Arial"/>
      <w:b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F194C"/>
    <w:rPr>
      <w:rFonts w:ascii="Calibri" w:eastAsia="Times New Roman" w:hAnsi="Calibri" w:cs="Arial"/>
      <w:b/>
      <w:sz w:val="40"/>
      <w:szCs w:val="32"/>
    </w:rPr>
  </w:style>
  <w:style w:type="paragraph" w:styleId="Header">
    <w:name w:val="header"/>
    <w:basedOn w:val="Normal"/>
    <w:link w:val="HeaderChar"/>
    <w:rsid w:val="006F194C"/>
    <w:pPr>
      <w:autoSpaceDE w:val="0"/>
      <w:autoSpaceDN w:val="0"/>
      <w:spacing w:after="60"/>
      <w:jc w:val="both"/>
    </w:pPr>
    <w:rPr>
      <w:b/>
      <w:bCs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6F194C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rsid w:val="006F19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F194C"/>
    <w:rPr>
      <w:rFonts w:ascii="Calibri" w:eastAsia="Times New Roman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4C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1B0C23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paragraph" w:customStyle="1" w:styleId="paragraphsub">
    <w:name w:val="paragraphsub"/>
    <w:basedOn w:val="Normal"/>
    <w:rsid w:val="001B0C23"/>
    <w:pPr>
      <w:spacing w:before="100" w:beforeAutospacing="1" w:after="100" w:afterAutospacing="1"/>
    </w:pPr>
    <w:rPr>
      <w:rFonts w:ascii="Times New Roman" w:hAnsi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94C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194C"/>
    <w:pPr>
      <w:tabs>
        <w:tab w:val="left" w:pos="4669"/>
      </w:tabs>
      <w:ind w:left="-567"/>
      <w:outlineLvl w:val="0"/>
    </w:pPr>
    <w:rPr>
      <w:rFonts w:ascii="Arial" w:hAnsi="Arial" w:cs="Arial"/>
      <w:b/>
      <w:smallCap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194C"/>
    <w:rPr>
      <w:rFonts w:ascii="Arial" w:eastAsia="Times New Roman" w:hAnsi="Arial" w:cs="Arial"/>
      <w:b/>
      <w:smallCaps/>
      <w:sz w:val="32"/>
      <w:szCs w:val="32"/>
    </w:rPr>
  </w:style>
  <w:style w:type="paragraph" w:styleId="Subtitle">
    <w:name w:val="Subtitle"/>
    <w:basedOn w:val="Normal"/>
    <w:link w:val="SubtitleChar"/>
    <w:qFormat/>
    <w:rsid w:val="006F194C"/>
    <w:pPr>
      <w:contextualSpacing/>
    </w:pPr>
    <w:rPr>
      <w:rFonts w:cs="Arial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6F194C"/>
    <w:rPr>
      <w:rFonts w:ascii="Calibri" w:eastAsia="Times New Roman" w:hAnsi="Calibri" w:cs="Arial"/>
      <w:sz w:val="20"/>
      <w:szCs w:val="20"/>
    </w:rPr>
  </w:style>
  <w:style w:type="paragraph" w:styleId="Title">
    <w:name w:val="Title"/>
    <w:basedOn w:val="Normal"/>
    <w:link w:val="TitleChar"/>
    <w:qFormat/>
    <w:rsid w:val="006F194C"/>
    <w:pPr>
      <w:spacing w:before="240" w:after="120"/>
    </w:pPr>
    <w:rPr>
      <w:rFonts w:cs="Arial"/>
      <w:b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F194C"/>
    <w:rPr>
      <w:rFonts w:ascii="Calibri" w:eastAsia="Times New Roman" w:hAnsi="Calibri" w:cs="Arial"/>
      <w:b/>
      <w:sz w:val="40"/>
      <w:szCs w:val="32"/>
    </w:rPr>
  </w:style>
  <w:style w:type="paragraph" w:styleId="Header">
    <w:name w:val="header"/>
    <w:basedOn w:val="Normal"/>
    <w:link w:val="HeaderChar"/>
    <w:rsid w:val="006F194C"/>
    <w:pPr>
      <w:autoSpaceDE w:val="0"/>
      <w:autoSpaceDN w:val="0"/>
      <w:spacing w:after="60"/>
      <w:jc w:val="both"/>
    </w:pPr>
    <w:rPr>
      <w:b/>
      <w:bCs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6F194C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rsid w:val="006F19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F194C"/>
    <w:rPr>
      <w:rFonts w:ascii="Calibri" w:eastAsia="Times New Roman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4C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1B0C23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paragraph" w:customStyle="1" w:styleId="paragraphsub">
    <w:name w:val="paragraphsub"/>
    <w:basedOn w:val="Normal"/>
    <w:rsid w:val="001B0C23"/>
    <w:pPr>
      <w:spacing w:before="100" w:beforeAutospacing="1" w:after="100" w:afterAutospacing="1"/>
    </w:pPr>
    <w:rPr>
      <w:rFonts w:ascii="Times New Roman" w:hAnsi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A6AB-A945-43CF-A716-0BC02E83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McDonald</dc:creator>
  <cp:lastModifiedBy>Peter Kemp</cp:lastModifiedBy>
  <cp:revision>2</cp:revision>
  <cp:lastPrinted>2014-04-03T06:11:00Z</cp:lastPrinted>
  <dcterms:created xsi:type="dcterms:W3CDTF">2014-04-16T22:00:00Z</dcterms:created>
  <dcterms:modified xsi:type="dcterms:W3CDTF">2014-04-16T22:00:00Z</dcterms:modified>
</cp:coreProperties>
</file>